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Tr="009B06AF">
        <w:tc>
          <w:tcPr>
            <w:tcW w:w="9333" w:type="dxa"/>
            <w:gridSpan w:val="2"/>
            <w:vAlign w:val="center"/>
          </w:tcPr>
          <w:p w:rsidR="00FE2B50" w:rsidRDefault="00FE2B50" w:rsidP="00C33388">
            <w:pPr>
              <w:rPr>
                <w:color w:val="00B0F0"/>
                <w:sz w:val="32"/>
                <w:szCs w:val="36"/>
              </w:rPr>
            </w:pPr>
          </w:p>
          <w:p w:rsidR="00FE2B50" w:rsidRPr="00304338" w:rsidRDefault="00304338" w:rsidP="00C33388">
            <w:pPr>
              <w:rPr>
                <w:b/>
                <w:bCs/>
                <w:color w:val="00B0F0"/>
                <w:sz w:val="32"/>
                <w:szCs w:val="36"/>
              </w:rPr>
            </w:pPr>
            <w:r w:rsidRPr="00304338">
              <w:rPr>
                <w:b/>
                <w:bCs/>
                <w:color w:val="00B0F0"/>
                <w:sz w:val="32"/>
                <w:szCs w:val="36"/>
              </w:rPr>
              <w:t>Prévention Santé Environnement</w:t>
            </w:r>
            <w:r w:rsidRPr="00304338">
              <w:rPr>
                <w:b/>
                <w:bCs/>
                <w:color w:val="00B0F0"/>
                <w:sz w:val="32"/>
                <w:szCs w:val="36"/>
              </w:rPr>
              <w:tab/>
            </w:r>
          </w:p>
        </w:tc>
        <w:tc>
          <w:tcPr>
            <w:tcW w:w="295" w:type="dxa"/>
            <w:vMerge/>
            <w:shd w:val="clear" w:color="auto" w:fill="F2F2F2" w:themeFill="background1" w:themeFillShade="F2"/>
          </w:tcPr>
          <w:p w:rsidR="0046304A" w:rsidRDefault="0046304A" w:rsidP="0046304A"/>
        </w:tc>
      </w:tr>
      <w:tr w:rsidR="00FE2B50" w:rsidTr="009B06AF">
        <w:tc>
          <w:tcPr>
            <w:tcW w:w="9333" w:type="dxa"/>
            <w:gridSpan w:val="2"/>
            <w:vAlign w:val="center"/>
          </w:tcPr>
          <w:p w:rsidR="00FE2B50" w:rsidRDefault="00FE2B50" w:rsidP="00C33388">
            <w:pPr>
              <w:rPr>
                <w:color w:val="00B0F0"/>
                <w:sz w:val="32"/>
                <w:szCs w:val="36"/>
              </w:rPr>
            </w:pPr>
          </w:p>
        </w:tc>
        <w:tc>
          <w:tcPr>
            <w:tcW w:w="295"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304338" w:rsidRPr="007A6EAA" w:rsidRDefault="00304338" w:rsidP="00304338">
            <w:pPr>
              <w:pStyle w:val="Default"/>
              <w:spacing w:after="120"/>
              <w:ind w:left="142" w:hanging="142"/>
              <w:rPr>
                <w:rFonts w:eastAsia="Arial"/>
                <w:sz w:val="20"/>
                <w:szCs w:val="20"/>
              </w:rPr>
            </w:pPr>
            <w:r w:rsidRPr="007A6EAA">
              <w:rPr>
                <w:rFonts w:eastAsia="Arial"/>
                <w:sz w:val="20"/>
                <w:szCs w:val="20"/>
              </w:rPr>
              <w:t>Appropriation des nouveaux programmes de PSE en CAP (et éventuellement les baccalauréats professionnels si besoin)</w:t>
            </w:r>
          </w:p>
          <w:p w:rsidR="00893E29" w:rsidRPr="00304338" w:rsidRDefault="00304338" w:rsidP="00304338">
            <w:pPr>
              <w:pStyle w:val="Default"/>
              <w:spacing w:after="120"/>
              <w:ind w:left="142" w:hanging="142"/>
              <w:rPr>
                <w:rFonts w:eastAsia="Arial"/>
                <w:sz w:val="20"/>
                <w:szCs w:val="20"/>
              </w:rPr>
            </w:pPr>
            <w:r w:rsidRPr="007A6EAA">
              <w:rPr>
                <w:rFonts w:eastAsia="Arial"/>
                <w:sz w:val="20"/>
                <w:szCs w:val="20"/>
              </w:rPr>
              <w:t>Préparation à l’épreuve ponctuelle ou accompagnement à l’élaboration de si</w:t>
            </w:r>
            <w:r>
              <w:rPr>
                <w:rFonts w:eastAsia="Arial"/>
                <w:sz w:val="20"/>
                <w:szCs w:val="20"/>
              </w:rPr>
              <w:t>tuation de CCF, le cas échéant.</w:t>
            </w:r>
          </w:p>
        </w:tc>
      </w:tr>
      <w:tr w:rsidR="00C771AE" w:rsidRPr="00C771AE" w:rsidTr="00442A27">
        <w:tc>
          <w:tcPr>
            <w:tcW w:w="5000" w:type="pct"/>
            <w:gridSpan w:val="2"/>
            <w:tcBorders>
              <w:bottom w:val="nil"/>
              <w:right w:val="nil"/>
            </w:tcBorders>
            <w:shd w:val="clear" w:color="auto" w:fill="auto"/>
            <w:vAlign w:val="center"/>
          </w:tcPr>
          <w:p w:rsidR="00C771AE"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p w:rsidR="00304338" w:rsidRPr="007A6EAA" w:rsidRDefault="00304338" w:rsidP="00304338">
            <w:pPr>
              <w:pStyle w:val="Default"/>
              <w:numPr>
                <w:ilvl w:val="0"/>
                <w:numId w:val="15"/>
              </w:numPr>
              <w:rPr>
                <w:rFonts w:eastAsia="Arial"/>
                <w:sz w:val="20"/>
                <w:szCs w:val="20"/>
              </w:rPr>
            </w:pPr>
            <w:r w:rsidRPr="007A6EAA">
              <w:rPr>
                <w:rFonts w:eastAsia="Arial"/>
                <w:sz w:val="20"/>
                <w:szCs w:val="20"/>
              </w:rPr>
              <w:t>Présentation des contenus des programmes PSE en CAP</w:t>
            </w:r>
          </w:p>
          <w:p w:rsidR="00304338" w:rsidRPr="007A6EAA" w:rsidRDefault="00304338" w:rsidP="00304338">
            <w:pPr>
              <w:pStyle w:val="Default"/>
              <w:numPr>
                <w:ilvl w:val="0"/>
                <w:numId w:val="15"/>
              </w:numPr>
              <w:rPr>
                <w:rFonts w:eastAsia="Arial"/>
                <w:sz w:val="20"/>
                <w:szCs w:val="20"/>
              </w:rPr>
            </w:pPr>
            <w:r>
              <w:rPr>
                <w:rFonts w:eastAsia="Arial"/>
                <w:sz w:val="20"/>
                <w:szCs w:val="20"/>
              </w:rPr>
              <w:t>(S</w:t>
            </w:r>
            <w:r w:rsidRPr="007A6EAA">
              <w:rPr>
                <w:rFonts w:eastAsia="Arial"/>
                <w:sz w:val="20"/>
                <w:szCs w:val="20"/>
              </w:rPr>
              <w:t>i besoin en BCP)</w:t>
            </w:r>
          </w:p>
          <w:p w:rsidR="00304338" w:rsidRPr="007A6EAA" w:rsidRDefault="00304338" w:rsidP="00304338">
            <w:pPr>
              <w:pStyle w:val="Default"/>
              <w:numPr>
                <w:ilvl w:val="0"/>
                <w:numId w:val="15"/>
              </w:numPr>
              <w:rPr>
                <w:rFonts w:eastAsia="Arial"/>
                <w:sz w:val="20"/>
                <w:szCs w:val="20"/>
              </w:rPr>
            </w:pPr>
            <w:r w:rsidRPr="007A6EAA">
              <w:rPr>
                <w:rFonts w:eastAsia="Arial"/>
                <w:sz w:val="20"/>
                <w:szCs w:val="20"/>
              </w:rPr>
              <w:t>Mise en évidence des évolutions dans le nouveau programme.</w:t>
            </w:r>
          </w:p>
          <w:p w:rsidR="00304338" w:rsidRPr="00304338" w:rsidRDefault="00304338" w:rsidP="00304338">
            <w:pPr>
              <w:pStyle w:val="Default"/>
              <w:numPr>
                <w:ilvl w:val="0"/>
                <w:numId w:val="15"/>
              </w:numPr>
              <w:rPr>
                <w:rFonts w:eastAsia="Arial"/>
                <w:sz w:val="20"/>
                <w:szCs w:val="20"/>
              </w:rPr>
            </w:pPr>
            <w:r w:rsidRPr="007A6EAA">
              <w:rPr>
                <w:rFonts w:eastAsia="Arial"/>
                <w:sz w:val="20"/>
                <w:szCs w:val="20"/>
              </w:rPr>
              <w:t>Les situations d’évaluation et de certification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304338" w:rsidRDefault="00304338" w:rsidP="00304338">
            <w:pPr>
              <w:pStyle w:val="Default"/>
              <w:ind w:left="142" w:hanging="142"/>
              <w:rPr>
                <w:rFonts w:eastAsia="Arial"/>
                <w:sz w:val="20"/>
                <w:szCs w:val="20"/>
              </w:rPr>
            </w:pPr>
            <w:r>
              <w:rPr>
                <w:rFonts w:eastAsia="Arial"/>
                <w:sz w:val="20"/>
                <w:szCs w:val="20"/>
              </w:rPr>
              <w:t>« Si action de formation : relevé d’acquis »</w:t>
            </w:r>
          </w:p>
          <w:p w:rsidR="00442A27" w:rsidRPr="00304338" w:rsidRDefault="00304338" w:rsidP="00304338">
            <w:pPr>
              <w:pStyle w:val="Default"/>
              <w:spacing w:after="120"/>
              <w:ind w:left="142" w:hanging="142"/>
              <w:rPr>
                <w:rFonts w:eastAsia="Arial"/>
                <w:sz w:val="20"/>
                <w:szCs w:val="20"/>
              </w:rPr>
            </w:pPr>
            <w:r>
              <w:rPr>
                <w:rFonts w:eastAsia="Arial"/>
                <w:sz w:val="20"/>
                <w:szCs w:val="20"/>
              </w:rPr>
              <w:t>« Si action d’accompagnement : uniquement attestation de formation »</w:t>
            </w:r>
          </w:p>
          <w:p w:rsidR="00442A27" w:rsidRDefault="00442A27" w:rsidP="00442A27">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FB5639"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FB5639"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304338" w:rsidRDefault="00304338" w:rsidP="00304338">
            <w:pPr>
              <w:autoSpaceDE w:val="0"/>
              <w:autoSpaceDN w:val="0"/>
              <w:adjustRightInd w:val="0"/>
              <w:spacing w:line="181" w:lineRule="atLeast"/>
              <w:rPr>
                <w:sz w:val="20"/>
                <w:lang w:eastAsia="fr-FR"/>
              </w:rPr>
            </w:pPr>
            <w:r w:rsidRPr="00304338">
              <w:rPr>
                <w:sz w:val="20"/>
                <w:lang w:eastAsia="fr-FR"/>
              </w:rPr>
              <w:t>Formateur exerçant en CFA</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392F13" w:rsidRDefault="00304338" w:rsidP="009C004B">
            <w:pPr>
              <w:pStyle w:val="CVNormal"/>
              <w:rPr>
                <w:rFonts w:ascii="Arial" w:hAnsi="Arial" w:cs="Arial"/>
                <w:color w:val="000000" w:themeColor="text1"/>
                <w:sz w:val="18"/>
                <w:szCs w:val="18"/>
              </w:rPr>
            </w:pPr>
            <w:r>
              <w:rPr>
                <w:rFonts w:ascii="Arial" w:hAnsi="Arial" w:cs="Arial"/>
                <w:color w:val="000000" w:themeColor="text1"/>
                <w:sz w:val="18"/>
                <w:szCs w:val="18"/>
              </w:rPr>
              <w:t>/</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101C09" w:rsidRPr="00304338" w:rsidRDefault="00304338" w:rsidP="00304338">
            <w:pPr>
              <w:pStyle w:val="Default"/>
              <w:ind w:left="142"/>
              <w:rPr>
                <w:rFonts w:eastAsia="Arial"/>
                <w:sz w:val="20"/>
                <w:szCs w:val="20"/>
              </w:rPr>
            </w:pPr>
            <w:r w:rsidRPr="0030414F">
              <w:rPr>
                <w:rFonts w:eastAsia="Arial"/>
                <w:sz w:val="20"/>
                <w:szCs w:val="20"/>
              </w:rPr>
              <w:t>Apports méthodologiques, études de cas, mises en situation, production des stagiaires, bibliographie</w:t>
            </w:r>
          </w:p>
        </w:tc>
      </w:tr>
      <w:tr w:rsidR="00730083" w:rsidRPr="00392F13" w:rsidTr="00442A27">
        <w:tc>
          <w:tcPr>
            <w:tcW w:w="5000" w:type="pct"/>
            <w:gridSpan w:val="2"/>
            <w:tcBorders>
              <w:top w:val="nil"/>
              <w:bottom w:val="nil"/>
              <w:right w:val="nil"/>
            </w:tcBorders>
            <w:vAlign w:val="center"/>
          </w:tcPr>
          <w:p w:rsidR="00D3706A" w:rsidRP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304338" w:rsidRPr="00304338" w:rsidRDefault="00304338" w:rsidP="00304338">
            <w:pPr>
              <w:numPr>
                <w:ilvl w:val="0"/>
                <w:numId w:val="15"/>
              </w:numPr>
              <w:autoSpaceDE w:val="0"/>
              <w:autoSpaceDN w:val="0"/>
              <w:adjustRightInd w:val="0"/>
              <w:spacing w:line="181" w:lineRule="atLeast"/>
              <w:ind w:right="-1152"/>
              <w:rPr>
                <w:sz w:val="20"/>
                <w:lang w:eastAsia="fr-FR"/>
              </w:rPr>
            </w:pPr>
            <w:r w:rsidRPr="00304338">
              <w:rPr>
                <w:sz w:val="20"/>
              </w:rPr>
              <w:t>M</w:t>
            </w:r>
            <w:r w:rsidRPr="00304338">
              <w:rPr>
                <w:sz w:val="20"/>
                <w:lang w:eastAsia="fr-FR"/>
              </w:rPr>
              <w:t>P FOISSY</w:t>
            </w:r>
          </w:p>
          <w:p w:rsidR="009F7F3B" w:rsidRPr="00304338" w:rsidRDefault="00304338" w:rsidP="00304338">
            <w:pPr>
              <w:numPr>
                <w:ilvl w:val="0"/>
                <w:numId w:val="15"/>
              </w:numPr>
              <w:autoSpaceDE w:val="0"/>
              <w:autoSpaceDN w:val="0"/>
              <w:adjustRightInd w:val="0"/>
              <w:spacing w:line="181" w:lineRule="atLeast"/>
              <w:ind w:right="-1152"/>
              <w:rPr>
                <w:sz w:val="20"/>
                <w:lang w:eastAsia="fr-FR"/>
              </w:rPr>
            </w:pPr>
            <w:r w:rsidRPr="00304338">
              <w:rPr>
                <w:sz w:val="20"/>
                <w:lang w:eastAsia="fr-FR"/>
              </w:rPr>
              <w:t>ET Mr Sylvain MELLET ou Mme COMPAIN</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9B0C46">
              <w:rPr>
                <w:smallCaps/>
                <w:color w:val="000000" w:themeColor="text1"/>
                <w:szCs w:val="18"/>
              </w:rPr>
              <w:t xml:space="preserve"> </w:t>
            </w:r>
            <w:r w:rsidR="00304338">
              <w:rPr>
                <w:smallCaps/>
                <w:color w:val="000000" w:themeColor="text1"/>
                <w:szCs w:val="18"/>
              </w:rPr>
              <w:t>1 jour</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A850C2">
              <w:rPr>
                <w:color w:val="000000" w:themeColor="text1"/>
                <w:szCs w:val="18"/>
              </w:rPr>
              <w:t xml:space="preserve"> </w:t>
            </w:r>
            <w:r w:rsidR="00304338">
              <w:rPr>
                <w:color w:val="000000" w:themeColor="text1"/>
                <w:szCs w:val="18"/>
              </w:rPr>
              <w:t>6 heures</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FB5639" w:rsidRPr="00FB5639" w:rsidRDefault="00FB5639" w:rsidP="00FB5639">
            <w:pPr>
              <w:autoSpaceDE w:val="0"/>
              <w:autoSpaceDN w:val="0"/>
              <w:adjustRightInd w:val="0"/>
              <w:spacing w:line="201" w:lineRule="atLeast"/>
              <w:ind w:left="-5670" w:firstLine="5670"/>
              <w:rPr>
                <w:b/>
                <w:sz w:val="20"/>
                <w:lang w:eastAsia="fr-FR"/>
              </w:rPr>
            </w:pPr>
            <w:r w:rsidRPr="00FB5639">
              <w:rPr>
                <w:b/>
                <w:sz w:val="20"/>
                <w:lang w:eastAsia="fr-FR"/>
              </w:rPr>
              <w:t>À</w:t>
            </w:r>
            <w:r w:rsidRPr="00FB5639">
              <w:rPr>
                <w:b/>
                <w:sz w:val="20"/>
                <w:lang w:eastAsia="fr-FR"/>
              </w:rPr>
              <w:t xml:space="preserve"> fixer quand </w:t>
            </w:r>
            <w:r w:rsidRPr="00FB5639">
              <w:rPr>
                <w:b/>
                <w:sz w:val="20"/>
                <w:lang w:eastAsia="fr-FR"/>
              </w:rPr>
              <w:t>accord 2020</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FB5639" w:rsidRPr="005F1E62" w:rsidRDefault="00FB5639" w:rsidP="00FB5639">
            <w:pPr>
              <w:pStyle w:val="Default"/>
              <w:spacing w:after="120"/>
              <w:ind w:left="142"/>
              <w:rPr>
                <w:rFonts w:eastAsia="Arial"/>
                <w:sz w:val="20"/>
                <w:szCs w:val="20"/>
              </w:rPr>
            </w:pPr>
            <w:r w:rsidRPr="005F1E62">
              <w:rPr>
                <w:rFonts w:eastAsia="Arial"/>
                <w:sz w:val="20"/>
                <w:szCs w:val="20"/>
              </w:rPr>
              <w:t>Pour le personnel de Greta et de l’Educat</w:t>
            </w:r>
            <w:r>
              <w:rPr>
                <w:rFonts w:eastAsia="Arial"/>
                <w:sz w:val="20"/>
                <w:szCs w:val="20"/>
              </w:rPr>
              <w:t>ion nationale, financement pris</w:t>
            </w:r>
            <w:r w:rsidRPr="005F1E62">
              <w:rPr>
                <w:rFonts w:eastAsia="Arial"/>
                <w:sz w:val="20"/>
                <w:szCs w:val="20"/>
              </w:rPr>
              <w:t xml:space="preserve"> en charge par le Fonds Académique de Mutualisation</w:t>
            </w:r>
          </w:p>
          <w:p w:rsidR="007478B2" w:rsidRPr="00FB5639" w:rsidRDefault="00FB5639" w:rsidP="00FB5639">
            <w:pPr>
              <w:pStyle w:val="Default"/>
              <w:spacing w:after="120"/>
              <w:ind w:left="142"/>
              <w:rPr>
                <w:rFonts w:eastAsia="Arial"/>
                <w:sz w:val="20"/>
                <w:szCs w:val="20"/>
              </w:rPr>
            </w:pPr>
            <w:r>
              <w:rPr>
                <w:rFonts w:eastAsia="Arial"/>
                <w:sz w:val="20"/>
                <w:szCs w:val="20"/>
              </w:rPr>
              <w:t>Autre : 182</w:t>
            </w:r>
            <w:r w:rsidRPr="005F1E62">
              <w:rPr>
                <w:rFonts w:eastAsia="Arial"/>
                <w:sz w:val="20"/>
                <w:szCs w:val="20"/>
              </w:rPr>
              <w:t>€ par jour</w:t>
            </w:r>
            <w:r>
              <w:rPr>
                <w:rFonts w:eastAsia="Arial"/>
                <w:sz w:val="20"/>
                <w:szCs w:val="20"/>
              </w:rPr>
              <w:t xml:space="preserve"> et par participant</w:t>
            </w: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FB5639" w:rsidRDefault="00FB5639" w:rsidP="00FB5639">
            <w:pPr>
              <w:autoSpaceDE w:val="0"/>
              <w:autoSpaceDN w:val="0"/>
              <w:adjustRightInd w:val="0"/>
              <w:spacing w:line="181" w:lineRule="atLeast"/>
              <w:rPr>
                <w:sz w:val="20"/>
                <w:lang w:eastAsia="fr-FR"/>
              </w:rPr>
            </w:pPr>
            <w:r>
              <w:rPr>
                <w:sz w:val="20"/>
                <w:lang w:eastAsia="fr-FR"/>
              </w:rPr>
              <w:t>Formation actualisation réglementaire des diplômes – Plan de professionnalisation réseau des Greta de l’académie d’Orléans-Tours</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AE74CF">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Pr="00AE74CF" w:rsidRDefault="00AE74CF" w:rsidP="00AE74CF">
            <w:pPr>
              <w:spacing w:before="60" w:after="60"/>
              <w:contextualSpacing/>
              <w:rPr>
                <w:sz w:val="16"/>
              </w:rPr>
            </w:pPr>
          </w:p>
        </w:tc>
        <w:tc>
          <w:tcPr>
            <w:tcW w:w="2830" w:type="dxa"/>
            <w:tcBorders>
              <w:left w:val="single" w:sz="4" w:space="0" w:color="7F7F7F" w:themeColor="text1" w:themeTint="80"/>
              <w:right w:val="single" w:sz="4" w:space="0" w:color="7F7F7F" w:themeColor="text1" w:themeTint="80"/>
            </w:tcBorders>
            <w:shd w:val="clear" w:color="auto" w:fill="auto"/>
          </w:tcPr>
          <w:p w:rsidR="00AE74CF" w:rsidRPr="00996CE3" w:rsidRDefault="00AE74CF" w:rsidP="00AE74CF">
            <w:pPr>
              <w:spacing w:before="60" w:after="60"/>
              <w:contextualSpacing/>
              <w:rPr>
                <w:sz w:val="14"/>
                <w:szCs w:val="18"/>
              </w:rPr>
            </w:pPr>
          </w:p>
        </w:tc>
        <w:tc>
          <w:tcPr>
            <w:tcW w:w="5097" w:type="dxa"/>
            <w:tcBorders>
              <w:left w:val="single" w:sz="4" w:space="0" w:color="7F7F7F" w:themeColor="text1" w:themeTint="80"/>
            </w:tcBorders>
            <w:shd w:val="clear" w:color="auto" w:fill="auto"/>
          </w:tcPr>
          <w:p w:rsidR="00C97DF1" w:rsidRDefault="00FB5639" w:rsidP="00651EE1">
            <w:pPr>
              <w:pStyle w:val="Paragraphedeliste"/>
              <w:spacing w:before="60" w:after="60"/>
              <w:ind w:left="360"/>
            </w:pPr>
            <w:r>
              <w:t>À Orléans ou dans un CFA</w:t>
            </w:r>
            <w:bookmarkStart w:id="0" w:name="_GoBack"/>
            <w:bookmarkEnd w:id="0"/>
          </w:p>
        </w:tc>
      </w:tr>
    </w:tbl>
    <w:p w:rsidR="00BD5761" w:rsidRDefault="00BD5761" w:rsidP="00EB53F3"/>
    <w:p w:rsidR="001F2B08" w:rsidRDefault="001F2B08" w:rsidP="00EB53F3"/>
    <w:p w:rsidR="001F2B08" w:rsidRDefault="001F2B08" w:rsidP="00EB53F3"/>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Pr="00A850C2" w:rsidRDefault="00D3706A" w:rsidP="00D3706A">
      <w:pPr>
        <w:numPr>
          <w:ilvl w:val="0"/>
          <w:numId w:val="9"/>
        </w:numPr>
        <w:ind w:left="384" w:right="314"/>
        <w:contextualSpacing/>
        <w:rPr>
          <w:b/>
          <w:color w:val="000000" w:themeColor="text1"/>
          <w:szCs w:val="18"/>
        </w:rPr>
      </w:pPr>
      <w:r w:rsidRPr="00A850C2">
        <w:rPr>
          <w:b/>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Pr="00A850C2" w:rsidRDefault="00D3706A" w:rsidP="00D3706A">
      <w:pPr>
        <w:numPr>
          <w:ilvl w:val="0"/>
          <w:numId w:val="9"/>
        </w:numPr>
        <w:ind w:left="384" w:right="314"/>
        <w:contextualSpacing/>
        <w:rPr>
          <w:b/>
          <w:color w:val="000000" w:themeColor="text1"/>
          <w:szCs w:val="18"/>
        </w:rPr>
      </w:pPr>
      <w:r w:rsidRPr="00A850C2">
        <w:rPr>
          <w:b/>
          <w:color w:val="000000" w:themeColor="text1"/>
          <w:szCs w:val="18"/>
        </w:rPr>
        <w:t>Sandrine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FB5639">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BED"/>
    <w:multiLevelType w:val="hybridMultilevel"/>
    <w:tmpl w:val="BFD8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9"/>
  </w:num>
  <w:num w:numId="6">
    <w:abstractNumId w:val="5"/>
  </w:num>
  <w:num w:numId="7">
    <w:abstractNumId w:val="8"/>
  </w:num>
  <w:num w:numId="8">
    <w:abstractNumId w:val="6"/>
  </w:num>
  <w:num w:numId="9">
    <w:abstractNumId w:val="4"/>
  </w:num>
  <w:num w:numId="10">
    <w:abstractNumId w:val="13"/>
  </w:num>
  <w:num w:numId="11">
    <w:abstractNumId w:val="1"/>
  </w:num>
  <w:num w:numId="12">
    <w:abstractNumId w:val="3"/>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08"/>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21719"/>
    <w:rsid w:val="00224AB8"/>
    <w:rsid w:val="00254F5D"/>
    <w:rsid w:val="0027129B"/>
    <w:rsid w:val="002C30A6"/>
    <w:rsid w:val="002C6308"/>
    <w:rsid w:val="002D043B"/>
    <w:rsid w:val="002D7A68"/>
    <w:rsid w:val="002E2E45"/>
    <w:rsid w:val="00304338"/>
    <w:rsid w:val="003127CB"/>
    <w:rsid w:val="003305DD"/>
    <w:rsid w:val="0033125B"/>
    <w:rsid w:val="00342887"/>
    <w:rsid w:val="003511F6"/>
    <w:rsid w:val="00353458"/>
    <w:rsid w:val="003535F6"/>
    <w:rsid w:val="0036549C"/>
    <w:rsid w:val="00373EF5"/>
    <w:rsid w:val="003859E8"/>
    <w:rsid w:val="003861EF"/>
    <w:rsid w:val="00386411"/>
    <w:rsid w:val="00394E29"/>
    <w:rsid w:val="003B5649"/>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719F"/>
    <w:rsid w:val="00594882"/>
    <w:rsid w:val="00594D54"/>
    <w:rsid w:val="005A2F38"/>
    <w:rsid w:val="005C747A"/>
    <w:rsid w:val="005E3603"/>
    <w:rsid w:val="005F7623"/>
    <w:rsid w:val="00610DE0"/>
    <w:rsid w:val="006143E6"/>
    <w:rsid w:val="00651EE1"/>
    <w:rsid w:val="00664D2F"/>
    <w:rsid w:val="00681069"/>
    <w:rsid w:val="006A58C7"/>
    <w:rsid w:val="006A6276"/>
    <w:rsid w:val="006D4F9A"/>
    <w:rsid w:val="006E77D0"/>
    <w:rsid w:val="006F6D78"/>
    <w:rsid w:val="00730083"/>
    <w:rsid w:val="00733289"/>
    <w:rsid w:val="007478B2"/>
    <w:rsid w:val="00765389"/>
    <w:rsid w:val="007720AA"/>
    <w:rsid w:val="007801D4"/>
    <w:rsid w:val="00781180"/>
    <w:rsid w:val="007A1C41"/>
    <w:rsid w:val="007B1064"/>
    <w:rsid w:val="007B3821"/>
    <w:rsid w:val="007C5C4C"/>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06AF"/>
    <w:rsid w:val="009B0C46"/>
    <w:rsid w:val="009B4B29"/>
    <w:rsid w:val="009C004B"/>
    <w:rsid w:val="009C3C44"/>
    <w:rsid w:val="009F0DA4"/>
    <w:rsid w:val="009F7F3B"/>
    <w:rsid w:val="00A13195"/>
    <w:rsid w:val="00A15E10"/>
    <w:rsid w:val="00A20903"/>
    <w:rsid w:val="00A23A0C"/>
    <w:rsid w:val="00A3239F"/>
    <w:rsid w:val="00A52A39"/>
    <w:rsid w:val="00A850C2"/>
    <w:rsid w:val="00A86C12"/>
    <w:rsid w:val="00AB7A44"/>
    <w:rsid w:val="00AC1EBD"/>
    <w:rsid w:val="00AD2B75"/>
    <w:rsid w:val="00AD6B9A"/>
    <w:rsid w:val="00AD7418"/>
    <w:rsid w:val="00AE74CF"/>
    <w:rsid w:val="00B00A9D"/>
    <w:rsid w:val="00B01A2F"/>
    <w:rsid w:val="00B246A0"/>
    <w:rsid w:val="00B60D75"/>
    <w:rsid w:val="00B66F09"/>
    <w:rsid w:val="00B709DD"/>
    <w:rsid w:val="00B92E99"/>
    <w:rsid w:val="00B96AC1"/>
    <w:rsid w:val="00BB6AF0"/>
    <w:rsid w:val="00BD5761"/>
    <w:rsid w:val="00C12473"/>
    <w:rsid w:val="00C23D3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6742D"/>
    <w:rsid w:val="00E70717"/>
    <w:rsid w:val="00E77914"/>
    <w:rsid w:val="00E83CDA"/>
    <w:rsid w:val="00E869C5"/>
    <w:rsid w:val="00EB53F3"/>
    <w:rsid w:val="00ED105C"/>
    <w:rsid w:val="00ED42AF"/>
    <w:rsid w:val="00EE0E23"/>
    <w:rsid w:val="00F05F90"/>
    <w:rsid w:val="00F17792"/>
    <w:rsid w:val="00F227AD"/>
    <w:rsid w:val="00F47ADE"/>
    <w:rsid w:val="00F850B6"/>
    <w:rsid w:val="00F90198"/>
    <w:rsid w:val="00F96D11"/>
    <w:rsid w:val="00FB058C"/>
    <w:rsid w:val="00FB5639"/>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17D813B3"/>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uiPriority w:val="34"/>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EC6D-670F-4E4A-9A4C-7CCB2CBD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3</cp:revision>
  <cp:lastPrinted>2018-12-13T10:11:00Z</cp:lastPrinted>
  <dcterms:created xsi:type="dcterms:W3CDTF">2020-01-31T09:33:00Z</dcterms:created>
  <dcterms:modified xsi:type="dcterms:W3CDTF">2020-01-31T10:06:00Z</dcterms:modified>
</cp:coreProperties>
</file>